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5EACE" w14:textId="77777777" w:rsidR="003A46F5" w:rsidRPr="003A46F5" w:rsidRDefault="003A46F5" w:rsidP="003A46F5">
      <w:pPr>
        <w:shd w:val="clear" w:color="auto" w:fill="FFFFFF"/>
        <w:rPr>
          <w:rFonts w:ascii="Helvetica Neue" w:eastAsia="Times New Roman" w:hAnsi="Helvetica Neue" w:cs="Calibri"/>
          <w:bCs/>
          <w:color w:val="404040"/>
          <w:sz w:val="26"/>
          <w:szCs w:val="26"/>
        </w:rPr>
      </w:pPr>
      <w:r w:rsidRPr="003A46F5">
        <w:rPr>
          <w:rFonts w:ascii="Helvetica Neue" w:eastAsia="Times New Roman" w:hAnsi="Helvetica Neue" w:cs="Calibri"/>
          <w:bCs/>
          <w:color w:val="404040"/>
          <w:sz w:val="26"/>
          <w:szCs w:val="26"/>
        </w:rPr>
        <w:t xml:space="preserve">Please consider revising the following definition as it </w:t>
      </w:r>
      <w:r w:rsidR="00FB04B2">
        <w:rPr>
          <w:rFonts w:ascii="Helvetica Neue" w:eastAsia="Times New Roman" w:hAnsi="Helvetica Neue" w:cs="Calibri"/>
          <w:bCs/>
          <w:color w:val="404040"/>
          <w:sz w:val="26"/>
          <w:szCs w:val="26"/>
        </w:rPr>
        <w:t>appears</w:t>
      </w:r>
      <w:r w:rsidRPr="003A46F5">
        <w:rPr>
          <w:rFonts w:ascii="Helvetica Neue" w:eastAsia="Times New Roman" w:hAnsi="Helvetica Neue" w:cs="Calibri"/>
          <w:bCs/>
          <w:color w:val="404040"/>
          <w:sz w:val="26"/>
          <w:szCs w:val="26"/>
        </w:rPr>
        <w:t xml:space="preserve"> to be contradictory</w:t>
      </w:r>
    </w:p>
    <w:p w14:paraId="4D9DD4AD" w14:textId="77777777" w:rsidR="003A46F5" w:rsidRDefault="003A46F5" w:rsidP="003A46F5">
      <w:pPr>
        <w:shd w:val="clear" w:color="auto" w:fill="FFFFFF"/>
        <w:rPr>
          <w:rFonts w:ascii="Helvetica Neue" w:eastAsia="Times New Roman" w:hAnsi="Helvetica Neue" w:cs="Calibri"/>
          <w:b/>
          <w:bCs/>
          <w:color w:val="404040"/>
          <w:sz w:val="26"/>
          <w:szCs w:val="26"/>
        </w:rPr>
      </w:pPr>
    </w:p>
    <w:p w14:paraId="3AF4C3CB" w14:textId="77777777" w:rsidR="003A46F5" w:rsidRPr="003A46F5" w:rsidRDefault="003A46F5" w:rsidP="003A46F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3A46F5">
        <w:rPr>
          <w:rFonts w:ascii="Helvetica Neue" w:eastAsia="Times New Roman" w:hAnsi="Helvetica Neue" w:cs="Calibri"/>
          <w:b/>
          <w:bCs/>
          <w:color w:val="404040"/>
          <w:sz w:val="26"/>
          <w:szCs w:val="26"/>
        </w:rPr>
        <w:t>Allergic </w:t>
      </w:r>
      <w:r w:rsidRPr="003A46F5">
        <w:rPr>
          <w:rFonts w:ascii="Helvetica Neue" w:eastAsia="Times New Roman" w:hAnsi="Helvetica Neue" w:cs="Calibri"/>
          <w:b/>
          <w:bCs/>
          <w:color w:val="FF0000"/>
          <w:sz w:val="26"/>
          <w:szCs w:val="26"/>
          <w:u w:val="single"/>
        </w:rPr>
        <w:t>or</w:t>
      </w:r>
      <w:r w:rsidRPr="003A46F5">
        <w:rPr>
          <w:rFonts w:ascii="Helvetica Neue" w:eastAsia="Times New Roman" w:hAnsi="Helvetica Neue" w:cs="Calibri"/>
          <w:b/>
          <w:bCs/>
          <w:color w:val="404040"/>
          <w:sz w:val="26"/>
          <w:szCs w:val="26"/>
        </w:rPr>
        <w:t> hypersensitivity conditions</w:t>
      </w:r>
    </w:p>
    <w:p w14:paraId="5B081F82" w14:textId="77777777" w:rsidR="003A46F5" w:rsidRPr="003A46F5" w:rsidRDefault="003A46F5" w:rsidP="003A46F5">
      <w:pPr>
        <w:shd w:val="clear" w:color="auto" w:fill="F8F8F8"/>
        <w:spacing w:after="60"/>
        <w:rPr>
          <w:rFonts w:ascii="Calibri" w:eastAsia="Times New Roman" w:hAnsi="Calibri" w:cs="Calibri"/>
          <w:color w:val="000000"/>
          <w:sz w:val="22"/>
          <w:szCs w:val="22"/>
        </w:rPr>
      </w:pPr>
      <w:r w:rsidRPr="003A46F5">
        <w:rPr>
          <w:rFonts w:ascii="Helvetica Neue" w:eastAsia="Times New Roman" w:hAnsi="Helvetica Neue" w:cs="Calibri"/>
          <w:b/>
          <w:bCs/>
          <w:color w:val="505050"/>
          <w:sz w:val="27"/>
          <w:szCs w:val="27"/>
        </w:rPr>
        <w:t>Parent</w:t>
      </w:r>
    </w:p>
    <w:p w14:paraId="61AD931E" w14:textId="77777777" w:rsidR="003A46F5" w:rsidRPr="003A46F5" w:rsidRDefault="003A46F5" w:rsidP="003A46F5">
      <w:pPr>
        <w:shd w:val="clear" w:color="auto" w:fill="F8F8F8"/>
        <w:ind w:left="210" w:right="60"/>
        <w:rPr>
          <w:rFonts w:ascii="Calibri" w:eastAsia="Times New Roman" w:hAnsi="Calibri" w:cs="Calibri"/>
          <w:color w:val="000000"/>
          <w:sz w:val="22"/>
          <w:szCs w:val="22"/>
        </w:rPr>
      </w:pPr>
      <w:r w:rsidRPr="003A46F5">
        <w:rPr>
          <w:rFonts w:ascii="Calibri" w:eastAsia="Times New Roman" w:hAnsi="Calibri" w:cs="Calibri"/>
          <w:color w:val="1010A0"/>
          <w:sz w:val="20"/>
          <w:szCs w:val="20"/>
        </w:rPr>
        <w:t>·</w:t>
      </w:r>
      <w:r w:rsidRPr="003A46F5">
        <w:rPr>
          <w:rFonts w:ascii="Times New Roman" w:eastAsia="Times New Roman" w:hAnsi="Times New Roman" w:cs="Times New Roman"/>
          <w:color w:val="1010A0"/>
          <w:sz w:val="14"/>
          <w:szCs w:val="14"/>
        </w:rPr>
        <w:t>         </w:t>
      </w:r>
      <w:hyperlink r:id="rId4" w:tgtFrame="_blank" w:history="1">
        <w:r w:rsidRPr="003A46F5">
          <w:rPr>
            <w:rFonts w:ascii="Helvetica Neue" w:eastAsia="Times New Roman" w:hAnsi="Helvetica Neue" w:cs="Calibri"/>
            <w:color w:val="800080"/>
            <w:u w:val="single"/>
          </w:rPr>
          <w:t>04 Diseases of the immune system</w:t>
        </w:r>
      </w:hyperlink>
    </w:p>
    <w:p w14:paraId="5AF1DE62" w14:textId="77777777" w:rsidR="003A46F5" w:rsidRPr="003A46F5" w:rsidRDefault="003A46F5" w:rsidP="003A46F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3A46F5">
        <w:rPr>
          <w:rFonts w:ascii="Helvetica Neue" w:eastAsia="Times New Roman" w:hAnsi="Helvetica Neue" w:cs="Calibri"/>
          <w:b/>
          <w:bCs/>
          <w:color w:val="505050"/>
          <w:sz w:val="27"/>
          <w:szCs w:val="27"/>
        </w:rPr>
        <w:t>Description</w:t>
      </w:r>
      <w:bookmarkStart w:id="0" w:name="_GoBack"/>
      <w:bookmarkEnd w:id="0"/>
    </w:p>
    <w:p w14:paraId="0BED3271" w14:textId="77777777" w:rsidR="003A46F5" w:rsidRPr="003A46F5" w:rsidRDefault="003A46F5" w:rsidP="003A46F5">
      <w:pPr>
        <w:shd w:val="clear" w:color="auto" w:fill="FFFFFF"/>
        <w:rPr>
          <w:rFonts w:ascii="Calibri" w:eastAsia="Times New Roman" w:hAnsi="Calibri" w:cs="Calibri"/>
          <w:color w:val="000000"/>
          <w:sz w:val="22"/>
          <w:szCs w:val="22"/>
        </w:rPr>
      </w:pPr>
      <w:r w:rsidRPr="003A46F5">
        <w:rPr>
          <w:rFonts w:ascii="Helvetica Neue" w:eastAsia="Times New Roman" w:hAnsi="Helvetica Neue" w:cs="Calibri"/>
          <w:color w:val="000000"/>
          <w:sz w:val="20"/>
          <w:szCs w:val="20"/>
        </w:rPr>
        <w:t>Allergy </w:t>
      </w:r>
      <w:r w:rsidRPr="003A46F5">
        <w:rPr>
          <w:rFonts w:ascii="Helvetica Neue" w:eastAsia="Times New Roman" w:hAnsi="Helvetica Neue" w:cs="Calibri"/>
          <w:b/>
          <w:bCs/>
          <w:color w:val="FF0000"/>
        </w:rPr>
        <w:t>is</w:t>
      </w:r>
      <w:r w:rsidRPr="003A46F5">
        <w:rPr>
          <w:rFonts w:ascii="Helvetica Neue" w:eastAsia="Times New Roman" w:hAnsi="Helvetica Neue" w:cs="Calibri"/>
          <w:color w:val="000000"/>
          <w:sz w:val="20"/>
          <w:szCs w:val="20"/>
        </w:rPr>
        <w:t xml:space="preserve"> a hypersensitivity reaction initiated by a </w:t>
      </w:r>
      <w:r w:rsidR="00FB04B2" w:rsidRPr="003A46F5">
        <w:rPr>
          <w:rFonts w:ascii="Helvetica Neue" w:eastAsia="Times New Roman" w:hAnsi="Helvetica Neue" w:cs="Calibri"/>
          <w:color w:val="000000"/>
          <w:sz w:val="20"/>
          <w:szCs w:val="20"/>
        </w:rPr>
        <w:t>proven immunologic mechanism</w:t>
      </w:r>
      <w:r w:rsidRPr="003A46F5">
        <w:rPr>
          <w:rFonts w:ascii="Helvetica Neue" w:eastAsia="Times New Roman" w:hAnsi="Helvetica Neue" w:cs="Calibri"/>
          <w:color w:val="000000"/>
          <w:sz w:val="20"/>
          <w:szCs w:val="20"/>
        </w:rPr>
        <w:t>. Hypersensitivity </w:t>
      </w:r>
      <w:r w:rsidRPr="003A46F5">
        <w:rPr>
          <w:rFonts w:ascii="Helvetica Neue" w:eastAsia="Times New Roman" w:hAnsi="Helvetica Neue" w:cs="Calibri"/>
          <w:b/>
          <w:bCs/>
          <w:color w:val="FF0000"/>
          <w:sz w:val="20"/>
          <w:szCs w:val="20"/>
        </w:rPr>
        <w:t>is defined as conditions clinically </w:t>
      </w:r>
      <w:r w:rsidRPr="003A46F5">
        <w:rPr>
          <w:rFonts w:ascii="Helvetica Neue" w:eastAsia="Times New Roman" w:hAnsi="Helvetica Neue" w:cs="Calibri"/>
          <w:b/>
          <w:bCs/>
          <w:color w:val="FF0000"/>
          <w:sz w:val="22"/>
          <w:szCs w:val="22"/>
          <w:u w:val="single"/>
        </w:rPr>
        <w:t>resembling</w:t>
      </w:r>
      <w:r>
        <w:rPr>
          <w:rFonts w:ascii="Helvetica Neue" w:eastAsia="Times New Roman" w:hAnsi="Helvetica Neue" w:cs="Calibri"/>
          <w:b/>
          <w:bCs/>
          <w:color w:val="FF0000"/>
          <w:sz w:val="22"/>
          <w:szCs w:val="22"/>
          <w:u w:val="single"/>
        </w:rPr>
        <w:t xml:space="preserve"> </w:t>
      </w:r>
      <w:r w:rsidRPr="003A46F5">
        <w:rPr>
          <w:rFonts w:ascii="Helvetica Neue" w:eastAsia="Times New Roman" w:hAnsi="Helvetica Neue" w:cs="Calibri"/>
          <w:b/>
          <w:bCs/>
          <w:color w:val="FF0000"/>
          <w:sz w:val="20"/>
          <w:szCs w:val="20"/>
        </w:rPr>
        <w:t>allergy</w:t>
      </w:r>
      <w:r w:rsidRPr="003A46F5">
        <w:rPr>
          <w:rFonts w:ascii="Helvetica Neue" w:eastAsia="Times New Roman" w:hAnsi="Helvetica Neue" w:cs="Calibri"/>
          <w:color w:val="FF0000"/>
          <w:sz w:val="20"/>
          <w:szCs w:val="20"/>
        </w:rPr>
        <w:t> </w:t>
      </w:r>
      <w:r w:rsidRPr="003A46F5">
        <w:rPr>
          <w:rFonts w:ascii="Helvetica Neue" w:eastAsia="Times New Roman" w:hAnsi="Helvetica Neue" w:cs="Calibri"/>
          <w:color w:val="000000"/>
          <w:sz w:val="20"/>
          <w:szCs w:val="20"/>
        </w:rPr>
        <w:t>that cause objectively reproducible symptoms or signs, initiated by exposure to a defined stimulus at a dose tolerated by normal subjects.</w:t>
      </w:r>
    </w:p>
    <w:p w14:paraId="25B4CE8D" w14:textId="77777777" w:rsidR="00120851" w:rsidRDefault="00120851"/>
    <w:p w14:paraId="2464C53A" w14:textId="77777777" w:rsidR="00FB04B2" w:rsidRDefault="003A46F5">
      <w:pPr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I interpret the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words 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“</w:t>
      </w:r>
      <w:r>
        <w:rPr>
          <w:rFonts w:ascii="-webkit-standard" w:eastAsia="Times New Roman" w:hAnsi="-webkit-standard" w:cs="Times New Roman"/>
          <w:color w:val="000000"/>
          <w:sz w:val="27"/>
          <w:szCs w:val="27"/>
        </w:rPr>
        <w:t>c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linically resembling allergy”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as 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signs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and symptoms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similar or identical to those produced by allergy but due to 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non</w:t>
      </w:r>
      <w:r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-immunologic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mechanisms such as 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release </w:t>
      </w:r>
      <w:r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or generation 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of vasoactive and inflammatory mediators from basophils and mast cells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or by disorders of bradykinin metabolism i.e. 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what has been called pseudoallergy or in the WAO/EAAACI nomenclature, non-allergic hypersensitivity.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>W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hat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the above definition seems to be 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indicating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is that allergy is a kind of hypersensitivity 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>(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Allergy </w:t>
      </w:r>
      <w:r w:rsidR="00FB04B2" w:rsidRPr="003A46F5">
        <w:rPr>
          <w:rFonts w:ascii="-webkit-standard" w:eastAsia="Times New Roman" w:hAnsi="-webkit-standard" w:cs="Times New Roman"/>
          <w:b/>
          <w:bCs/>
          <w:color w:val="000000"/>
          <w:sz w:val="27"/>
          <w:szCs w:val="27"/>
        </w:rPr>
        <w:t>is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 a hypersensitivity reaction initiated by a </w:t>
      </w:r>
      <w:r w:rsidR="00FB04B2" w:rsidRP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>proven immunologic mechanism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>)</w:t>
      </w:r>
      <w:r w:rsidR="00FB04B2" w:rsidRP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while at the same time hypersensitivity is equivalent to non-allergic hypersensitivity</w:t>
      </w:r>
      <w:r w:rsid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(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Hypersensitivity is defined as conditions clinically resembling</w:t>
      </w:r>
      <w:r w:rsidR="00FB04B2" w:rsidRP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 xml:space="preserve"> </w:t>
      </w:r>
      <w:r w:rsidR="00FB04B2"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allergy</w:t>
      </w:r>
      <w:r w:rsidR="00FB04B2" w:rsidRP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>)</w:t>
      </w:r>
      <w:r w:rsidRPr="003A46F5">
        <w:rPr>
          <w:rFonts w:ascii="-webkit-standard" w:eastAsia="Times New Roman" w:hAnsi="-webkit-standard" w:cs="Times New Roman"/>
          <w:color w:val="000000"/>
          <w:sz w:val="27"/>
          <w:szCs w:val="27"/>
        </w:rPr>
        <w:t>.</w:t>
      </w:r>
    </w:p>
    <w:p w14:paraId="48EEF8EB" w14:textId="77777777" w:rsidR="00FB04B2" w:rsidRDefault="00FB04B2">
      <w:pPr>
        <w:rPr>
          <w:rFonts w:ascii="-webkit-standard" w:eastAsia="Times New Roman" w:hAnsi="-webkit-standard" w:cs="Times New Roman"/>
          <w:color w:val="000000"/>
          <w:sz w:val="27"/>
          <w:szCs w:val="27"/>
        </w:rPr>
      </w:pPr>
    </w:p>
    <w:p w14:paraId="12D027B7" w14:textId="77777777" w:rsidR="003A46F5" w:rsidRPr="00FB04B2" w:rsidRDefault="00FB04B2">
      <w:pPr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B04B2">
        <w:rPr>
          <w:rFonts w:ascii="-webkit-standard" w:eastAsia="Times New Roman" w:hAnsi="-webkit-standard" w:cs="Times New Roman"/>
          <w:color w:val="000000"/>
          <w:sz w:val="27"/>
          <w:szCs w:val="27"/>
        </w:rPr>
        <w:t>The WAO/EAAACI nomenclature describes hypersensitivity as an umbrella term that incorporates both allergy and non-allergic hypersensitivity which is how we have represented this in SNOMED.</w:t>
      </w:r>
    </w:p>
    <w:p w14:paraId="569050E0" w14:textId="77777777" w:rsidR="003A46F5" w:rsidRDefault="003A46F5"/>
    <w:p w14:paraId="797B8075" w14:textId="77777777" w:rsidR="003A46F5" w:rsidRDefault="00FB04B2">
      <w:r w:rsidRPr="00FB04B2">
        <w:drawing>
          <wp:inline distT="0" distB="0" distL="0" distR="0" wp14:anchorId="11FBF59A" wp14:editId="0A09DA68">
            <wp:extent cx="4495800" cy="2551943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3264" cy="25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46F5" w:rsidSect="00912689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6F5"/>
    <w:rsid w:val="00120851"/>
    <w:rsid w:val="002C7EDB"/>
    <w:rsid w:val="003A46F5"/>
    <w:rsid w:val="006852B0"/>
    <w:rsid w:val="007C1750"/>
    <w:rsid w:val="008D1ACB"/>
    <w:rsid w:val="00912689"/>
    <w:rsid w:val="00B7372B"/>
    <w:rsid w:val="00F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4F97BF"/>
  <w14:defaultImageDpi w14:val="300"/>
  <w15:chartTrackingRefBased/>
  <w15:docId w15:val="{5DD3BC93-55B5-0D4E-A434-FBC34822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A46F5"/>
  </w:style>
  <w:style w:type="character" w:styleId="Hyperlink">
    <w:name w:val="Hyperlink"/>
    <w:basedOn w:val="DefaultParagraphFont"/>
    <w:uiPriority w:val="99"/>
    <w:semiHidden/>
    <w:unhideWhenUsed/>
    <w:rsid w:val="003A46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4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urldefense.proofpoint.com/v2/url?u=https-3A__icd.who.int_browse11_l-2Dm_en-23_http-253a-252f-252fid.who.int-252ficd-252fentity-252f1954798891&amp;d=DwMFaQ&amp;c=ZMR5nv7DeMA_5yIzV7zEdkSfOjTGya0xwGqp1JcaTq0&amp;r=AT6pbftlFXFyGuS7neB8LF_AZA6SfAzY3T8fXzdhoyc&amp;m=_KkFomuzWf4IqyDb4XHFlq9W-um7lyFnELEgAQFpDow&amp;s=fGktTbV0Jm3nF_I2JeZuXMjxBBZNpngHweyin_EZs8o&amp;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J Goldberg</dc:creator>
  <cp:keywords/>
  <dc:description/>
  <cp:lastModifiedBy>Bruce J Goldberg</cp:lastModifiedBy>
  <cp:revision>1</cp:revision>
  <dcterms:created xsi:type="dcterms:W3CDTF">2018-11-01T00:27:00Z</dcterms:created>
  <dcterms:modified xsi:type="dcterms:W3CDTF">2018-11-01T00:48:00Z</dcterms:modified>
</cp:coreProperties>
</file>